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C98" w:rsidRPr="00E12C98" w:rsidRDefault="00E12C98">
      <w:pPr>
        <w:spacing w:before="240" w:after="240" w:line="360" w:lineRule="atLeast"/>
      </w:pPr>
      <w:r w:rsidRPr="00E12C98">
        <w:rPr>
          <w:noProof/>
          <w:lang w:eastAsia="ru-RU"/>
        </w:rPr>
        <w:drawing>
          <wp:inline distT="0" distB="0" distL="0" distR="0">
            <wp:extent cx="6645910" cy="9397135"/>
            <wp:effectExtent l="0" t="0" r="2540" b="0"/>
            <wp:docPr id="1" name="Рисунок 1" descr="C:\Users\Dou194\Downloads\Сканировать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u194\Downloads\Сканировать1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397135"/>
                    </a:xfrm>
                    <a:prstGeom prst="rect">
                      <a:avLst/>
                    </a:prstGeom>
                    <a:noFill/>
                    <a:ln>
                      <a:noFill/>
                    </a:ln>
                  </pic:spPr>
                </pic:pic>
              </a:graphicData>
            </a:graphic>
          </wp:inline>
        </w:drawing>
      </w:r>
      <w:bookmarkStart w:id="0" w:name="_GoBack"/>
      <w:bookmarkEnd w:id="0"/>
    </w:p>
    <w:tbl>
      <w:tblPr>
        <w:tblStyle w:val="afd"/>
        <w:tblW w:w="0" w:type="auto"/>
        <w:tblInd w:w="-147" w:type="dxa"/>
        <w:tblLook w:val="04A0" w:firstRow="1" w:lastRow="0" w:firstColumn="1" w:lastColumn="0" w:noHBand="0" w:noVBand="1"/>
      </w:tblPr>
      <w:tblGrid>
        <w:gridCol w:w="475"/>
        <w:gridCol w:w="3355"/>
        <w:gridCol w:w="1716"/>
        <w:gridCol w:w="2780"/>
        <w:gridCol w:w="2277"/>
      </w:tblGrid>
      <w:tr w:rsidR="00814EA2" w:rsidTr="00814EA2">
        <w:tc>
          <w:tcPr>
            <w:tcW w:w="709"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lastRenderedPageBreak/>
              <w:t>№ п/п</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Наименование мероприятия</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Срок</w:t>
            </w:r>
            <w:r>
              <w:rPr>
                <w:rFonts w:ascii="Times New Roman" w:eastAsia="Times New Roman" w:hAnsi="Times New Roman" w:cs="Times New Roman"/>
                <w:sz w:val="24"/>
                <w:szCs w:val="24"/>
                <w:lang w:eastAsia="ru-RU"/>
              </w:rPr>
              <w:t> </w:t>
            </w:r>
            <w:r>
              <w:rPr>
                <w:rFonts w:ascii="Times New Roman" w:eastAsia="Times New Roman" w:hAnsi="Times New Roman" w:cs="Times New Roman"/>
                <w:i/>
                <w:iCs/>
                <w:sz w:val="24"/>
                <w:szCs w:val="24"/>
                <w:lang w:eastAsia="ru-RU"/>
              </w:rPr>
              <w:t> проведения</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Ответственный исполнитель,</w:t>
            </w:r>
            <w:r>
              <w:rPr>
                <w:rFonts w:ascii="Times New Roman" w:eastAsia="Times New Roman" w:hAnsi="Times New Roman" w:cs="Times New Roman"/>
                <w:sz w:val="24"/>
                <w:szCs w:val="24"/>
                <w:lang w:eastAsia="ru-RU"/>
              </w:rPr>
              <w:t> </w:t>
            </w:r>
            <w:r>
              <w:rPr>
                <w:rFonts w:ascii="Times New Roman" w:eastAsia="Times New Roman" w:hAnsi="Times New Roman" w:cs="Times New Roman"/>
                <w:i/>
                <w:iCs/>
                <w:sz w:val="24"/>
                <w:szCs w:val="24"/>
                <w:lang w:eastAsia="ru-RU"/>
              </w:rPr>
              <w:t>соисполнители:</w:t>
            </w:r>
          </w:p>
        </w:tc>
        <w:tc>
          <w:tcPr>
            <w:tcW w:w="2277"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Отметка о выполнении</w:t>
            </w:r>
          </w:p>
        </w:tc>
      </w:tr>
      <w:tr w:rsidR="001D18D7" w:rsidTr="00814EA2">
        <w:tc>
          <w:tcPr>
            <w:tcW w:w="10603" w:type="dxa"/>
            <w:gridSpan w:val="5"/>
          </w:tcPr>
          <w:p w:rsidR="001D18D7" w:rsidRDefault="00144CD0">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Организационные  мероприятия</w:t>
            </w: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сбора, обобщения, анализа статистических данных по охране труда, несчастных случаев на производстве.</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1D18D7" w:rsidRDefault="00144CD0">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квартал</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ежегодного анализа  состояния условий  и охраны труда, детского и производственного травматизма.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1 квартал</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Заключение, изменения, дополнения коллективного договора  между работодателем и работниками (на срок не более трех лет).</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по мере 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службы охраны труда в соответствии со статьей 217  ТК РФ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январь месяц</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комиссии по охране труда в соответствии со статьей 218  ТК РФ.</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январь</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Выборы уполномоченного лица по охране труда на собрании профессионального союза, с составлением протокола.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на срок полномочий выборного профсоюзного органа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 Председатель УК</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 приказ ДОУ «</w:t>
            </w:r>
            <w:r>
              <w:rPr>
                <w:rFonts w:ascii="Times New Roman" w:eastAsia="Times New Roman" w:hAnsi="Times New Roman" w:cs="Times New Roman"/>
                <w:i/>
                <w:iCs/>
                <w:sz w:val="24"/>
                <w:szCs w:val="24"/>
                <w:lang w:eastAsia="ru-RU"/>
              </w:rPr>
              <w:t>О проведении мероприятий, посвященных Всемирному дню охраны труда</w:t>
            </w:r>
            <w:r>
              <w:rPr>
                <w:rFonts w:ascii="Times New Roman" w:eastAsia="Times New Roman" w:hAnsi="Times New Roman" w:cs="Times New Roman"/>
                <w:sz w:val="24"/>
                <w:szCs w:val="24"/>
                <w:lang w:eastAsia="ru-RU"/>
              </w:rPr>
              <w:t>» - план мероприятий</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до 10 марта Ежегодно до 13 марта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мероприятий, посвященных Всемирному дню охраны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Март-Апрель</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областном смотре-конкурсе на лучшую организацию работы по охране труда среди организаций бюджетной сферы.</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Сентябрь- Октябрь</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работе  семинаров по вопросам охраны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совещаний, семинаров, бесед, круглых столов по анализу существующей в учреждении системы управления охраной труда и соответствующих мероприятий для обеспечения непрерывного совершенствования системы управления охраной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до 28 апреля</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документов, устанавливающих организационную структуру системы управления охраной труда и функционирования данной системы.</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всего периода, по мере 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Регулярное рассмотрение состояния условий труда на рабочих местах, функционирования системы управления охраной труда на собраниях работников трудового коллектива, на совещаниях руководителей и специалистов.</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реже 1 квартал</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перечня профессий и работ, при поступлении на которые работник должен пройти предварительный медицинский осмотр.</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январь</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Ст.медсестра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перечня контингента и поимённого списка лиц для проведения  медицинских осмотров.</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январь</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Ст.медсестра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Разработка (пересмотр) перечней должностей и профессий работников для бесплатной выдачи СИЗ, смывающих и обезвреживающих средств.</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Январь</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Установление и обеспечение  обязательных гарантий и компенсаций работникам, занятым на </w:t>
            </w:r>
            <w:r>
              <w:rPr>
                <w:rFonts w:ascii="Times New Roman" w:eastAsia="Times New Roman" w:hAnsi="Times New Roman" w:cs="Times New Roman"/>
                <w:sz w:val="24"/>
                <w:szCs w:val="24"/>
                <w:lang w:eastAsia="ru-RU"/>
              </w:rPr>
              <w:lastRenderedPageBreak/>
              <w:t>тяжелых работах, работах с вредными и (или) опасными условиями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Ежегодно, на основании результатов СОУТ</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законного права работодателя на возврат 20% взносов, ранее перечисленных в Фонд социального страхования (на проведение предупредительных мер по охране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до 01 августа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Целевое использование средств на финансовое обеспечение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I-IV кв.</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Расследование и учет несчастных случаев на производстве.</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 Ст. 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Расследование и учет профессиональных заболеваний.</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Ст. 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Расследование и учет несчастных случаев с воспитанниками.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 Ст. 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информации о выполнении плана мероприятий по улучшению условий и охраны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до 01 февраля</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1D18D7" w:rsidTr="00814EA2">
        <w:tc>
          <w:tcPr>
            <w:tcW w:w="10603" w:type="dxa"/>
            <w:gridSpan w:val="5"/>
          </w:tcPr>
          <w:p w:rsidR="001D18D7" w:rsidRDefault="00144CD0">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Обучение по охране труда</w:t>
            </w: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анализа прохождения обучения и проверки знаний требований охраны труда всех работников.</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до 28 апреля</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по охране труда руководителей, членов комиссий учреждения по проверке знаний требований охраны труда в обучающей организации.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 по мере 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в установленном порядке  обучения, проверки знаний по охране труда работников и инструктажей.</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 по мере 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обучения работников оказанию первой помощи пострадавшим на производстве.</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 по мере 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обучения по программам: - «</w:t>
            </w:r>
            <w:r>
              <w:rPr>
                <w:rFonts w:ascii="Times New Roman" w:eastAsia="Times New Roman" w:hAnsi="Times New Roman" w:cs="Times New Roman"/>
                <w:i/>
                <w:iCs/>
                <w:sz w:val="24"/>
                <w:szCs w:val="24"/>
                <w:lang w:eastAsia="ru-RU"/>
              </w:rPr>
              <w:t>Обучение по охране труда при работе на высоте</w:t>
            </w:r>
            <w:r>
              <w:rPr>
                <w:rFonts w:ascii="Times New Roman" w:eastAsia="Times New Roman" w:hAnsi="Times New Roman" w:cs="Times New Roman"/>
                <w:sz w:val="24"/>
                <w:szCs w:val="24"/>
                <w:lang w:eastAsia="ru-RU"/>
              </w:rPr>
              <w:t>»; - «</w:t>
            </w:r>
            <w:r>
              <w:rPr>
                <w:rFonts w:ascii="Times New Roman" w:eastAsia="Times New Roman" w:hAnsi="Times New Roman" w:cs="Times New Roman"/>
                <w:i/>
                <w:iCs/>
                <w:sz w:val="24"/>
                <w:szCs w:val="24"/>
                <w:lang w:eastAsia="ru-RU"/>
              </w:rPr>
              <w:t>Правила по охране труда при эксплуатации тепловых энергоустановок</w:t>
            </w:r>
            <w:r>
              <w:rPr>
                <w:rFonts w:ascii="Times New Roman" w:eastAsia="Times New Roman" w:hAnsi="Times New Roman" w:cs="Times New Roman"/>
                <w:sz w:val="24"/>
                <w:szCs w:val="24"/>
                <w:lang w:eastAsia="ru-RU"/>
              </w:rPr>
              <w:t>»; - пожарно-технического минимума; - электробезопасности (с присвоением квалификационной группы различным категориям слушателей).</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воспитанников основам безопасности жизнедеятельности.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систематического контроля за соблюдением норм и правил ОТ при проведении с воспитанниками различных видов занятий и работ, проведении экскурсий и соревнований.</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перечня должностей и профессий, требующих присвоение персоналу группы I по электробезопасности (неэлектротехнический персонал).</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 по мере 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Разработка программы проведения инструктажа неэлектротехнического персонала на группу I по электробезопасности.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 по мере 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Разработка, утверждение, пересмотр и тиражирование инструкций по охране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по мере 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Приобретение журналов регистрации инструктажей по </w:t>
            </w:r>
            <w:r>
              <w:rPr>
                <w:rFonts w:ascii="Times New Roman" w:eastAsia="Times New Roman" w:hAnsi="Times New Roman" w:cs="Times New Roman"/>
                <w:sz w:val="24"/>
                <w:szCs w:val="24"/>
                <w:lang w:eastAsia="ru-RU"/>
              </w:rPr>
              <w:lastRenderedPageBreak/>
              <w:t>охране труда, журнала по эксплуатации зданий и сооружений, журнала учета присвоения I группы по электробезопасности неэлектротехническому  персоналу.</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Ежегодно, январь-</w:t>
            </w:r>
            <w:r>
              <w:rPr>
                <w:rFonts w:ascii="Times New Roman" w:eastAsia="Times New Roman" w:hAnsi="Times New Roman" w:cs="Times New Roman"/>
                <w:sz w:val="24"/>
                <w:szCs w:val="24"/>
                <w:lang w:eastAsia="ru-RU"/>
              </w:rPr>
              <w:lastRenderedPageBreak/>
              <w:t>февраль По мере 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Оформление и обновление уголков охраны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до 28 апреля</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Обновление на сайте учреждения информации  по охране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до 28 апреля</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1D18D7" w:rsidTr="00814EA2">
        <w:tc>
          <w:tcPr>
            <w:tcW w:w="10603" w:type="dxa"/>
            <w:gridSpan w:val="5"/>
          </w:tcPr>
          <w:p w:rsidR="001D18D7" w:rsidRDefault="00144CD0">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Санитарно-бытовые и лечебно-профилактические мероприятия</w:t>
            </w: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Осуществление ведомственного контроля по обеспечению комплексной безопасности, в том числе охраны труда в ДОУ</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соответствии с планом работы комитета по образованию</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комплексных и целевых обследований состояния условий труда на рабочих местах с составлением актов проверок и подведением итогов.</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до 28 апреля</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административно -общественного контроля состояния охраны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(I ступень –ежедневно, II ступень –один раз в квартал, III – один раз в 6 месяцев)</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представители администрации учреждения, председатель ПК, работники учреждения</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специальной оценки рабочих мест по условиям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по мере 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мероприятий по улучшению условий труда, в том числе разработанных по результатам проведения специальной оценки условий труда, и оценки уровней профессиональных рисков.</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обязательных предварительных (при поступлении на работу) и периодических (в течение трудовой деятельности) медицинских осмотров работников.</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прохождения  медицинских осмотров работниками.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до 28 апреля</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44</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оборудования для оказания медицинской помощи: аптечки, укомплектованные наборами лекарственных средств и препаратов для оказания первой помощи.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Приобретение аптечек первой помощи.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Приобретение смывающих и обезвреживающих средств.</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по мере 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хранения средств индивидуальной защиты (далее - СИЗ), а также ухода за ними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и проведение производственного контроля в порядке, установленном действующим законодательством.</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 Ст. воспитатель Ст. 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Реконструкция имеющихся мест организованного отдыха, мест обогрева работников и оснащение санитарно-бытовых помещений.</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Приведение уровней естественного и искусственного освещения на рабочих местах, в бытовых помещениях, местах прохода работников в соответствии с действующими нормами.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 Ст. воспитатель Ст. медсестра</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работников питьевой водой.</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повар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Надлежащее ведение личных карточек учёта выдачи СИЗ.</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1D18D7" w:rsidTr="00814EA2">
        <w:tc>
          <w:tcPr>
            <w:tcW w:w="10603" w:type="dxa"/>
            <w:gridSpan w:val="5"/>
          </w:tcPr>
          <w:p w:rsidR="001D18D7" w:rsidRDefault="00144CD0">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 Технические  мероприятия</w:t>
            </w: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Устройство новых и реконструкция имеющихся отопительных и вентиляционных систем в производственных и бытовых помещениях, тепловых и воздушных завес, аспирационных и пылегазоулавливающих установок, установок кондиционирования воздуха с </w:t>
            </w:r>
            <w:r>
              <w:rPr>
                <w:rFonts w:ascii="Times New Roman" w:eastAsia="Times New Roman" w:hAnsi="Times New Roman" w:cs="Times New Roman"/>
                <w:sz w:val="24"/>
                <w:szCs w:val="24"/>
                <w:lang w:eastAsia="ru-RU"/>
              </w:rPr>
              <w:lastRenderedPageBreak/>
              <w:t>целью обеспечения нормального теплового режима и микроклимата, чистоты воздушной среды в рабочей и обслуживаемых зонах помещений.</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планово-предупредительного ремонта зданий и сооружений.</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ДОУ 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Модернизация системы освещения, замена светильников в помещениях</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ремонтных работ по приведению зданий, сооружений, помещений к действующим нормам.</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Размещение  производственного оборудования и организация рабочих мест, обеспечивающие безопасности работников (при необходимости перепланировка).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 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Нанесение на электрические щиты, пусковые устройства и станочное оборудование знаков безопасности (закупка знаков на самоклеящейся пленке).</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в течение всего периода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Испытание диэлектрических средств защиты работников (галоши, перчатки, коврики и т.д.).</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до 01 августа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электроизмерительных работ (проверка состояния  заземления и изоляции электросетей, электрооборудования, испытания и измерения сопротивления изоляции проводов).</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до 01 августа</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Осуществление периодической  проверки состояния ручного, электроинструмента оборудования  для установления его пригодности к эксплуатации (с составлением актов проверок и браковки).</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 не реже одного раза в 6 месяцев</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Зам.зав.по АХР</w:t>
            </w:r>
          </w:p>
        </w:tc>
        <w:tc>
          <w:tcPr>
            <w:tcW w:w="2277" w:type="dxa"/>
          </w:tcPr>
          <w:p w:rsidR="001D18D7" w:rsidRDefault="001D18D7">
            <w:pPr>
              <w:rPr>
                <w:rFonts w:ascii="Times New Roman" w:eastAsia="Times New Roman" w:hAnsi="Times New Roman" w:cs="Times New Roman"/>
                <w:sz w:val="24"/>
                <w:szCs w:val="24"/>
                <w:lang w:eastAsia="ru-RU"/>
              </w:rPr>
            </w:pPr>
          </w:p>
        </w:tc>
      </w:tr>
      <w:tr w:rsidR="00814EA2" w:rsidTr="00814EA2">
        <w:tc>
          <w:tcPr>
            <w:tcW w:w="709" w:type="dxa"/>
          </w:tcPr>
          <w:p w:rsidR="001D18D7" w:rsidRDefault="00814EA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3121"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Приобретение наглядных материалов, литературы для проведения инструктажей по охране труда, обучения </w:t>
            </w:r>
            <w:r>
              <w:rPr>
                <w:rFonts w:ascii="Times New Roman" w:eastAsia="Times New Roman" w:hAnsi="Times New Roman" w:cs="Times New Roman"/>
                <w:sz w:val="24"/>
                <w:szCs w:val="24"/>
                <w:lang w:eastAsia="ru-RU"/>
              </w:rPr>
              <w:lastRenderedPageBreak/>
              <w:t>безопасным приемам и методам выполнения работ, оснащение уголков по охране труда</w:t>
            </w:r>
          </w:p>
        </w:tc>
        <w:tc>
          <w:tcPr>
            <w:tcW w:w="1716"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Ежегодно, в течение всего периода по мере </w:t>
            </w:r>
            <w:r>
              <w:rPr>
                <w:rFonts w:ascii="Times New Roman" w:eastAsia="Times New Roman" w:hAnsi="Times New Roman" w:cs="Times New Roman"/>
                <w:sz w:val="24"/>
                <w:szCs w:val="24"/>
                <w:lang w:eastAsia="ru-RU"/>
              </w:rPr>
              <w:lastRenderedPageBreak/>
              <w:t>необходимости</w:t>
            </w:r>
          </w:p>
        </w:tc>
        <w:tc>
          <w:tcPr>
            <w:tcW w:w="2780" w:type="dxa"/>
          </w:tcPr>
          <w:p w:rsidR="001D18D7" w:rsidRDefault="00144CD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Ст. воспитатель</w:t>
            </w:r>
          </w:p>
        </w:tc>
        <w:tc>
          <w:tcPr>
            <w:tcW w:w="2277" w:type="dxa"/>
          </w:tcPr>
          <w:p w:rsidR="001D18D7" w:rsidRDefault="001D18D7">
            <w:pPr>
              <w:rPr>
                <w:rFonts w:ascii="Times New Roman" w:eastAsia="Times New Roman" w:hAnsi="Times New Roman" w:cs="Times New Roman"/>
                <w:sz w:val="24"/>
                <w:szCs w:val="24"/>
                <w:lang w:eastAsia="ru-RU"/>
              </w:rPr>
            </w:pPr>
          </w:p>
        </w:tc>
      </w:tr>
    </w:tbl>
    <w:p w:rsidR="001D18D7" w:rsidRDefault="001D18D7">
      <w:pPr>
        <w:spacing w:before="288" w:after="168" w:line="336" w:lineRule="atLeast"/>
        <w:outlineLvl w:val="0"/>
      </w:pPr>
    </w:p>
    <w:sectPr w:rsidR="001D18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623" w:rsidRDefault="007F3623">
      <w:pPr>
        <w:spacing w:after="0" w:line="240" w:lineRule="auto"/>
      </w:pPr>
      <w:r>
        <w:separator/>
      </w:r>
    </w:p>
  </w:endnote>
  <w:endnote w:type="continuationSeparator" w:id="0">
    <w:p w:rsidR="007F3623" w:rsidRDefault="007F3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623" w:rsidRDefault="007F3623">
      <w:pPr>
        <w:spacing w:after="0" w:line="240" w:lineRule="auto"/>
      </w:pPr>
      <w:r>
        <w:separator/>
      </w:r>
    </w:p>
  </w:footnote>
  <w:footnote w:type="continuationSeparator" w:id="0">
    <w:p w:rsidR="007F3623" w:rsidRDefault="007F36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02FFD"/>
    <w:multiLevelType w:val="hybridMultilevel"/>
    <w:tmpl w:val="63A05E68"/>
    <w:lvl w:ilvl="0" w:tplc="509605D4">
      <w:start w:val="1"/>
      <w:numFmt w:val="bullet"/>
      <w:lvlText w:val=""/>
      <w:lvlJc w:val="left"/>
      <w:pPr>
        <w:tabs>
          <w:tab w:val="num" w:pos="720"/>
        </w:tabs>
        <w:ind w:left="720" w:hanging="360"/>
      </w:pPr>
      <w:rPr>
        <w:rFonts w:ascii="Symbol" w:hAnsi="Symbol" w:hint="default"/>
        <w:sz w:val="20"/>
      </w:rPr>
    </w:lvl>
    <w:lvl w:ilvl="1" w:tplc="08BC6588">
      <w:start w:val="1"/>
      <w:numFmt w:val="bullet"/>
      <w:lvlText w:val="o"/>
      <w:lvlJc w:val="left"/>
      <w:pPr>
        <w:tabs>
          <w:tab w:val="num" w:pos="1440"/>
        </w:tabs>
        <w:ind w:left="1440" w:hanging="360"/>
      </w:pPr>
      <w:rPr>
        <w:rFonts w:ascii="Courier New" w:hAnsi="Courier New" w:hint="default"/>
        <w:sz w:val="20"/>
      </w:rPr>
    </w:lvl>
    <w:lvl w:ilvl="2" w:tplc="95962E92">
      <w:start w:val="1"/>
      <w:numFmt w:val="bullet"/>
      <w:lvlText w:val=""/>
      <w:lvlJc w:val="left"/>
      <w:pPr>
        <w:tabs>
          <w:tab w:val="num" w:pos="2160"/>
        </w:tabs>
        <w:ind w:left="2160" w:hanging="360"/>
      </w:pPr>
      <w:rPr>
        <w:rFonts w:ascii="Wingdings" w:hAnsi="Wingdings" w:hint="default"/>
        <w:sz w:val="20"/>
      </w:rPr>
    </w:lvl>
    <w:lvl w:ilvl="3" w:tplc="0FAA47F2">
      <w:start w:val="1"/>
      <w:numFmt w:val="bullet"/>
      <w:lvlText w:val=""/>
      <w:lvlJc w:val="left"/>
      <w:pPr>
        <w:tabs>
          <w:tab w:val="num" w:pos="2880"/>
        </w:tabs>
        <w:ind w:left="2880" w:hanging="360"/>
      </w:pPr>
      <w:rPr>
        <w:rFonts w:ascii="Wingdings" w:hAnsi="Wingdings" w:hint="default"/>
        <w:sz w:val="20"/>
      </w:rPr>
    </w:lvl>
    <w:lvl w:ilvl="4" w:tplc="82A6977C">
      <w:start w:val="1"/>
      <w:numFmt w:val="bullet"/>
      <w:lvlText w:val=""/>
      <w:lvlJc w:val="left"/>
      <w:pPr>
        <w:tabs>
          <w:tab w:val="num" w:pos="3600"/>
        </w:tabs>
        <w:ind w:left="3600" w:hanging="360"/>
      </w:pPr>
      <w:rPr>
        <w:rFonts w:ascii="Wingdings" w:hAnsi="Wingdings" w:hint="default"/>
        <w:sz w:val="20"/>
      </w:rPr>
    </w:lvl>
    <w:lvl w:ilvl="5" w:tplc="06F4FADC">
      <w:start w:val="1"/>
      <w:numFmt w:val="bullet"/>
      <w:lvlText w:val=""/>
      <w:lvlJc w:val="left"/>
      <w:pPr>
        <w:tabs>
          <w:tab w:val="num" w:pos="4320"/>
        </w:tabs>
        <w:ind w:left="4320" w:hanging="360"/>
      </w:pPr>
      <w:rPr>
        <w:rFonts w:ascii="Wingdings" w:hAnsi="Wingdings" w:hint="default"/>
        <w:sz w:val="20"/>
      </w:rPr>
    </w:lvl>
    <w:lvl w:ilvl="6" w:tplc="4FFAA1E2">
      <w:start w:val="1"/>
      <w:numFmt w:val="bullet"/>
      <w:lvlText w:val=""/>
      <w:lvlJc w:val="left"/>
      <w:pPr>
        <w:tabs>
          <w:tab w:val="num" w:pos="5040"/>
        </w:tabs>
        <w:ind w:left="5040" w:hanging="360"/>
      </w:pPr>
      <w:rPr>
        <w:rFonts w:ascii="Wingdings" w:hAnsi="Wingdings" w:hint="default"/>
        <w:sz w:val="20"/>
      </w:rPr>
    </w:lvl>
    <w:lvl w:ilvl="7" w:tplc="FE048F44">
      <w:start w:val="1"/>
      <w:numFmt w:val="bullet"/>
      <w:lvlText w:val=""/>
      <w:lvlJc w:val="left"/>
      <w:pPr>
        <w:tabs>
          <w:tab w:val="num" w:pos="5760"/>
        </w:tabs>
        <w:ind w:left="5760" w:hanging="360"/>
      </w:pPr>
      <w:rPr>
        <w:rFonts w:ascii="Wingdings" w:hAnsi="Wingdings" w:hint="default"/>
        <w:sz w:val="20"/>
      </w:rPr>
    </w:lvl>
    <w:lvl w:ilvl="8" w:tplc="9A063F2E">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626A52"/>
    <w:multiLevelType w:val="hybridMultilevel"/>
    <w:tmpl w:val="1500169C"/>
    <w:lvl w:ilvl="0" w:tplc="AD8C4874">
      <w:start w:val="1"/>
      <w:numFmt w:val="bullet"/>
      <w:lvlText w:val=""/>
      <w:lvlJc w:val="left"/>
      <w:pPr>
        <w:tabs>
          <w:tab w:val="num" w:pos="720"/>
        </w:tabs>
        <w:ind w:left="720" w:hanging="360"/>
      </w:pPr>
      <w:rPr>
        <w:rFonts w:ascii="Symbol" w:hAnsi="Symbol" w:hint="default"/>
        <w:sz w:val="20"/>
      </w:rPr>
    </w:lvl>
    <w:lvl w:ilvl="1" w:tplc="EC6A4844">
      <w:start w:val="1"/>
      <w:numFmt w:val="bullet"/>
      <w:lvlText w:val="o"/>
      <w:lvlJc w:val="left"/>
      <w:pPr>
        <w:tabs>
          <w:tab w:val="num" w:pos="1440"/>
        </w:tabs>
        <w:ind w:left="1440" w:hanging="360"/>
      </w:pPr>
      <w:rPr>
        <w:rFonts w:ascii="Courier New" w:hAnsi="Courier New" w:hint="default"/>
        <w:sz w:val="20"/>
      </w:rPr>
    </w:lvl>
    <w:lvl w:ilvl="2" w:tplc="B3E602CE">
      <w:start w:val="1"/>
      <w:numFmt w:val="bullet"/>
      <w:lvlText w:val=""/>
      <w:lvlJc w:val="left"/>
      <w:pPr>
        <w:tabs>
          <w:tab w:val="num" w:pos="2160"/>
        </w:tabs>
        <w:ind w:left="2160" w:hanging="360"/>
      </w:pPr>
      <w:rPr>
        <w:rFonts w:ascii="Wingdings" w:hAnsi="Wingdings" w:hint="default"/>
        <w:sz w:val="20"/>
      </w:rPr>
    </w:lvl>
    <w:lvl w:ilvl="3" w:tplc="0E8A2E16">
      <w:start w:val="1"/>
      <w:numFmt w:val="bullet"/>
      <w:lvlText w:val=""/>
      <w:lvlJc w:val="left"/>
      <w:pPr>
        <w:tabs>
          <w:tab w:val="num" w:pos="2880"/>
        </w:tabs>
        <w:ind w:left="2880" w:hanging="360"/>
      </w:pPr>
      <w:rPr>
        <w:rFonts w:ascii="Wingdings" w:hAnsi="Wingdings" w:hint="default"/>
        <w:sz w:val="20"/>
      </w:rPr>
    </w:lvl>
    <w:lvl w:ilvl="4" w:tplc="7AB86F90">
      <w:start w:val="1"/>
      <w:numFmt w:val="bullet"/>
      <w:lvlText w:val=""/>
      <w:lvlJc w:val="left"/>
      <w:pPr>
        <w:tabs>
          <w:tab w:val="num" w:pos="3600"/>
        </w:tabs>
        <w:ind w:left="3600" w:hanging="360"/>
      </w:pPr>
      <w:rPr>
        <w:rFonts w:ascii="Wingdings" w:hAnsi="Wingdings" w:hint="default"/>
        <w:sz w:val="20"/>
      </w:rPr>
    </w:lvl>
    <w:lvl w:ilvl="5" w:tplc="7C0EC7CE">
      <w:start w:val="1"/>
      <w:numFmt w:val="bullet"/>
      <w:lvlText w:val=""/>
      <w:lvlJc w:val="left"/>
      <w:pPr>
        <w:tabs>
          <w:tab w:val="num" w:pos="4320"/>
        </w:tabs>
        <w:ind w:left="4320" w:hanging="360"/>
      </w:pPr>
      <w:rPr>
        <w:rFonts w:ascii="Wingdings" w:hAnsi="Wingdings" w:hint="default"/>
        <w:sz w:val="20"/>
      </w:rPr>
    </w:lvl>
    <w:lvl w:ilvl="6" w:tplc="B3566B0C">
      <w:start w:val="1"/>
      <w:numFmt w:val="bullet"/>
      <w:lvlText w:val=""/>
      <w:lvlJc w:val="left"/>
      <w:pPr>
        <w:tabs>
          <w:tab w:val="num" w:pos="5040"/>
        </w:tabs>
        <w:ind w:left="5040" w:hanging="360"/>
      </w:pPr>
      <w:rPr>
        <w:rFonts w:ascii="Wingdings" w:hAnsi="Wingdings" w:hint="default"/>
        <w:sz w:val="20"/>
      </w:rPr>
    </w:lvl>
    <w:lvl w:ilvl="7" w:tplc="45C05118">
      <w:start w:val="1"/>
      <w:numFmt w:val="bullet"/>
      <w:lvlText w:val=""/>
      <w:lvlJc w:val="left"/>
      <w:pPr>
        <w:tabs>
          <w:tab w:val="num" w:pos="5760"/>
        </w:tabs>
        <w:ind w:left="5760" w:hanging="360"/>
      </w:pPr>
      <w:rPr>
        <w:rFonts w:ascii="Wingdings" w:hAnsi="Wingdings" w:hint="default"/>
        <w:sz w:val="20"/>
      </w:rPr>
    </w:lvl>
    <w:lvl w:ilvl="8" w:tplc="69E87FD0">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8D7"/>
    <w:rsid w:val="00144CD0"/>
    <w:rsid w:val="001D18D7"/>
    <w:rsid w:val="004C07B1"/>
    <w:rsid w:val="007F3623"/>
    <w:rsid w:val="00814EA2"/>
    <w:rsid w:val="00C0785D"/>
    <w:rsid w:val="00E12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C8A0"/>
  <w15:docId w15:val="{64119C02-2246-4FB7-B17F-F2D1A938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ae">
    <w:name w:val="Нижний колонтитул Знак"/>
    <w:basedOn w:val="a0"/>
    <w:link w:val="ad"/>
    <w:uiPriority w:val="99"/>
  </w:style>
  <w:style w:type="paragraph" w:styleId="af">
    <w:name w:val="caption"/>
    <w:basedOn w:val="a"/>
    <w:next w:val="a"/>
    <w:link w:val="af0"/>
    <w:uiPriority w:val="35"/>
    <w:semiHidden/>
    <w:unhideWhenUsed/>
    <w:qFormat/>
    <w:pPr>
      <w:spacing w:line="276" w:lineRule="auto"/>
    </w:pPr>
    <w:rPr>
      <w:b/>
      <w:bCs/>
      <w:color w:val="5B9BD5" w:themeColor="accent1"/>
      <w:sz w:val="18"/>
      <w:szCs w:val="18"/>
    </w:rPr>
  </w:style>
  <w:style w:type="character" w:customStyle="1" w:styleId="af0">
    <w:name w:val="Название объекта Знак"/>
    <w:basedOn w:val="a0"/>
    <w:link w:val="af"/>
    <w:uiPriority w:val="35"/>
    <w:rPr>
      <w:b/>
      <w:bCs/>
      <w:color w:val="5B9BD5" w:themeColor="accent1"/>
      <w:sz w:val="18"/>
      <w:szCs w:val="18"/>
    </w:rPr>
  </w:style>
  <w:style w:type="table" w:styleId="a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2">
    <w:name w:val="Hyperlink"/>
    <w:uiPriority w:val="99"/>
    <w:unhideWhenUsed/>
    <w:rPr>
      <w:color w:val="0563C1" w:themeColor="hyperlink"/>
      <w:u w:val="single"/>
    </w:rPr>
  </w:style>
  <w:style w:type="paragraph" w:styleId="af3">
    <w:name w:val="footnote text"/>
    <w:basedOn w:val="a"/>
    <w:link w:val="af4"/>
    <w:uiPriority w:val="99"/>
    <w:semiHidden/>
    <w:unhideWhenUsed/>
    <w:pPr>
      <w:spacing w:after="40" w:line="240" w:lineRule="auto"/>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paragraph" w:styleId="afb">
    <w:name w:val="Balloon Text"/>
    <w:basedOn w:val="a"/>
    <w:link w:val="afc"/>
    <w:uiPriority w:val="99"/>
    <w:semiHidden/>
    <w:unhideWhenUsed/>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 w:type="table" w:styleId="afd">
    <w:name w:val="Grid Table Light"/>
    <w:basedOn w:val="a1"/>
    <w:uiPriority w:val="40"/>
    <w:rsid w:val="00814E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25560-9D1B-45F2-81A4-EFDA5B6C8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1801</Words>
  <Characters>10270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dou136</dc:creator>
  <cp:keywords/>
  <dc:description/>
  <cp:lastModifiedBy>Dou194</cp:lastModifiedBy>
  <cp:revision>2</cp:revision>
  <cp:lastPrinted>2026-08-05T06:07:00Z</cp:lastPrinted>
  <dcterms:created xsi:type="dcterms:W3CDTF">2026-08-05T12:33:00Z</dcterms:created>
  <dcterms:modified xsi:type="dcterms:W3CDTF">2026-08-05T12:33:00Z</dcterms:modified>
</cp:coreProperties>
</file>